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95" w:rsidRPr="00201695" w:rsidRDefault="00201695" w:rsidP="00201695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b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b/>
          <w:color w:val="22272F"/>
          <w:sz w:val="24"/>
          <w:szCs w:val="24"/>
          <w:lang w:eastAsia="ru-RU"/>
        </w:rPr>
        <w:t>Постановление Правительства РФ от 10 декабря 2018 г. N 1506</w:t>
      </w:r>
      <w:r w:rsidRPr="00201695">
        <w:rPr>
          <w:rFonts w:ascii="PT Serif" w:eastAsia="Times New Roman" w:hAnsi="PT Serif" w:cs="Times New Roman"/>
          <w:b/>
          <w:color w:val="22272F"/>
          <w:sz w:val="24"/>
          <w:szCs w:val="24"/>
          <w:lang w:eastAsia="ru-RU"/>
        </w:rPr>
        <w:br/>
        <w:t>"О Программе государственных гарантий бесплатного оказания гражданам медицинской помощи на 2019 год и на плановый период 2020 и 2021 годов"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В целях обеспечения конституционных прав граждан Российской Федерации на бесплатное оказание медицинской помощи </w:t>
      </w:r>
      <w:bookmarkStart w:id="0" w:name="_GoBack"/>
      <w:bookmarkEnd w:id="0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Правительство Российской Федерации постановляет: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1. Утвердить прилагаемую </w:t>
      </w:r>
      <w:hyperlink r:id="rId5" w:anchor="/document/72123058/entry/10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Программу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государственных гарантий бесплатного оказания гражданам медицинской помощи на 2019 год и на плановый период 2020 и 2021 годов.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2. Министерству здравоохранения Российской Федерации: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а) внести в установленном порядке в Правительство Российской Федерации: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до 1 июля 2019 г. - доклад о реализации в 2018 году </w:t>
      </w:r>
      <w:hyperlink r:id="rId6" w:anchor="/document/71829300/entry/10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Программы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государственных гарантий бесплатного оказания гражданам медицинской помощи на 2018 год и на плановый период 2019 и 2020 годов;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до 1 октября 2019 г. - проект программы государственных гарантий бесплатного оказания гражданам медицинской помощи на 2020 год и на плановый период 2021 и 2022 годов;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б)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  <w:proofErr w:type="gramEnd"/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г) привести свои нормативные правовые акты в соответствие с настоящим постановлением.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3. Рекомендовать органам государственной власти субъектов Российской Федерации утвердить до 30 декабря 2018 г. территориальные программы государственных гарантий бесплатного оказания гражданам медицинской помощи на 2019 год и на плановый период 2020 и 2021 годов.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1"/>
        <w:gridCol w:w="3447"/>
      </w:tblGrid>
      <w:tr w:rsidR="00201695" w:rsidRPr="00201695" w:rsidTr="00201695">
        <w:tc>
          <w:tcPr>
            <w:tcW w:w="3300" w:type="pct"/>
            <w:vAlign w:val="bottom"/>
            <w:hideMark/>
          </w:tcPr>
          <w:p w:rsidR="00201695" w:rsidRPr="00201695" w:rsidRDefault="00201695" w:rsidP="00201695">
            <w:pPr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201695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201695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201695" w:rsidRPr="00201695" w:rsidRDefault="00201695" w:rsidP="00201695">
            <w:pPr>
              <w:spacing w:before="100" w:beforeAutospacing="1" w:after="100" w:afterAutospacing="1" w:line="240" w:lineRule="auto"/>
              <w:jc w:val="right"/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</w:pPr>
            <w:r w:rsidRPr="00201695">
              <w:rPr>
                <w:rFonts w:ascii="PT Serif" w:eastAsia="Times New Roman" w:hAnsi="PT Serif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Утверждена</w:t>
      </w:r>
      <w:proofErr w:type="gramEnd"/>
      <w:r w:rsidRPr="00201695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</w:r>
      <w:hyperlink r:id="rId7" w:anchor="/document/72123058/entry/0" w:history="1">
        <w:r w:rsidRPr="00201695">
          <w:rPr>
            <w:rFonts w:ascii="PT Serif" w:eastAsia="Times New Roman" w:hAnsi="PT Serif" w:cs="Times New Roman"/>
            <w:b/>
            <w:bCs/>
            <w:color w:val="551A8B"/>
            <w:sz w:val="24"/>
            <w:szCs w:val="24"/>
            <w:lang w:eastAsia="ru-RU"/>
          </w:rPr>
          <w:t>постановлением</w:t>
        </w:r>
      </w:hyperlink>
      <w:r w:rsidRPr="00201695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Правительства</w:t>
      </w:r>
      <w:r w:rsidRPr="00201695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201695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от 10 декабря 2018 г. N 1506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Программа</w:t>
      </w:r>
      <w:r w:rsidRPr="0020169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br/>
        <w:t xml:space="preserve">государственных гарантий бесплатного оказания гражданам </w:t>
      </w:r>
      <w:r w:rsidRPr="0020169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lastRenderedPageBreak/>
        <w:t>медицинской помощи на 2019 год и на плановый период 2020 и 2021 годов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I. Общие положения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Программа государственных гарантий бесплатного оказания гражданам медицинской помощи на 2019 год и на плановый период 2020 и 2021 годов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затрат на единицу объема медицинской помощи, средние </w:t>
      </w:r>
      <w:proofErr w:type="spell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подушевые</w:t>
      </w:r>
      <w:proofErr w:type="spell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нормативы финансирования, порядок и структуру формирования тарифов на медицинскую помощь и способы ее оплаты,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  <w:proofErr w:type="gramEnd"/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Программа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годов, включая территориальные программы обязательного медицинского страхования, установленные в соответствии с </w:t>
      </w:r>
      <w:hyperlink r:id="rId8" w:anchor="/document/12180688/entry/2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законодательством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Российской Федерации об обязательном медицинском страховании (далее соответственно - территориальная программа, территориальная программа обязательного медицинского страхования).</w:t>
      </w:r>
      <w:proofErr w:type="gramEnd"/>
    </w:p>
    <w:p w:rsidR="00201695" w:rsidRPr="00201695" w:rsidRDefault="00201695" w:rsidP="00201695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II. Перечень видов, форм и условий предоставления медицинской помощи, оказание которой осуществляется бесплатно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паллиативная медицинская помощь, оказываемая медицинскими организациями.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Понятие "медицинская организация" используется в Программе в значении, определенном в федеральных законах </w:t>
      </w:r>
      <w:hyperlink r:id="rId9" w:anchor="/document/12191967/entry/211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"Об основах охраны здоровья граждан в Российской Федерации"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и </w:t>
      </w:r>
      <w:hyperlink r:id="rId10" w:anchor="/document/12180688/entry/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"Об обязательном медицинском страховании в Российской Федерации"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lastRenderedPageBreak/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содержащим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в том числе методы лечения и источники финансового обеспечения высокотехнологичной медицинской помощи, согласно </w:t>
      </w:r>
      <w:hyperlink r:id="rId11" w:anchor="/document/72123058/entry/110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приложению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(далее - перечень видов высокотехнологичной медицинской помощи).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стихийных бедствий).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обучение по оказанию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такой помощи, и представляет собой комплекс медицинских вмешательств, направленных на избавление от боли и </w:t>
      </w: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lastRenderedPageBreak/>
        <w:t>облегчение других тяжелых проявлений заболевания, в целях улучшения качества жизни неизлечимо больных граждан.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Медицинская помощь оказывается в следующих формах: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 </w:t>
      </w:r>
      <w:hyperlink r:id="rId12" w:anchor="/document/72123048/entry/10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перечень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жизненно необходимых и важнейших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лекарственных препаратов и </w:t>
      </w:r>
      <w:hyperlink r:id="rId13" w:anchor="/document/71522628/entry/10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перечень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медицинских изделий, имплантируемых в организм человека.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III. Перечень заболеваний и состояний, оказание медицинской помощи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при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которых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осуществляется бесплатно, и категории граждан, оказание медицинской помощи которым осуществляется бесплатно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Гражданин имеет право на бесплатное получение медицинской помощи по видам, формам и условиям ее оказания в соответствии с </w:t>
      </w:r>
      <w:hyperlink r:id="rId14" w:anchor="/document/72123058/entry/12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разделом II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Программы при следующих заболеваниях и состояниях: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инфекционные и паразитарные болезни;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новообразования;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болезни эндокринной системы;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расстройства питания и нарушения обмена веществ;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болезни нервной системы;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болезни крови, кроветворных органов;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болезни глаза и его придаточного аппарата;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болезни уха и сосцевидного отростка;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болезни системы кровообращения;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lastRenderedPageBreak/>
        <w:t>болезни органов дыхания;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болезни мочеполовой системы;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болезни кожи и подкожной клетчатки;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болезни костно-мышечной системы и соединительной ткани;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врожденные аномалии (пороки развития);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деформации и хромосомные нарушения;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беременность, роды, послеродовой период и аборты;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отдельные состояния, возникающие у детей в перинатальный период;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психические расстройства и расстройства поведения;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симптомы, признаки и отклонения от нормы, не отнесенные к заболеваниям и состояниям.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Гражданин имеет право на бесплатный профилактический медицинский осмотр не реже одного раза в год.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В соответствии с законодательством Российской Федерации отдельные категории граждан имеют право: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на обеспечение лекарственными препаратами (в соответствии с </w:t>
      </w:r>
      <w:hyperlink r:id="rId15" w:anchor="/document/72123058/entry/15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разделом V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Программы);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на 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на 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на 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на 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на </w:t>
      </w:r>
      <w:proofErr w:type="spell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пренатальную</w:t>
      </w:r>
      <w:proofErr w:type="spell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(дородовую) диагностику нарушений развития ребенка - беременные женщины;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на неонатальный скрининг на 5 наследственных и врожденных заболеваний - новорожденные дети;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на </w:t>
      </w:r>
      <w:proofErr w:type="spell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аудиологический</w:t>
      </w:r>
      <w:proofErr w:type="spell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скрининг - новорожденные дети и дети первого года жизни.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IV. Базовая программа обязательного медицинского страхования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lastRenderedPageBreak/>
        <w:t>Базовая программа обязательного медицинского страхования является составной частью Программы.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В рамках базовой программы обязательного медицинского страхования: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 </w:t>
      </w:r>
      <w:hyperlink r:id="rId16" w:anchor="/document/72123058/entry/110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перечень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 </w:t>
      </w:r>
      <w:hyperlink r:id="rId17" w:anchor="/document/72123058/entry/13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разделе III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Программы, за исключением заболеваний, передаваемых половым путем, вызванных вирусом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осуществляются профилактические мероприятия, включая диспансеризацию, диспансерное наблюдение (при заболеваниях и состояниях, указанных в </w:t>
      </w:r>
      <w:hyperlink r:id="rId18" w:anchor="/document/72123058/entry/13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разделе III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III Программы, а также мероприятия по медицинской реабилитации, осуществляемой в медицинских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организациях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амбулаторно, стационарно и в условиях дневного стационара, </w:t>
      </w:r>
      <w:proofErr w:type="spell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аудиологическому</w:t>
      </w:r>
      <w:proofErr w:type="spell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Порядок формирования и структура тарифа на оплату медицинской помощи по обязательному медицинскому страхованию устанавливаются в соответствии с </w:t>
      </w:r>
      <w:hyperlink r:id="rId19" w:anchor="/document/12180688/entry/3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Федеральным законом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"Об обязательном медицинском страховании в Российской Федерации".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Тарифы на оплату медицинской помощи по обязательному медицинскому страхованию устанавливаются в соответствии со </w:t>
      </w:r>
      <w:hyperlink r:id="rId20" w:anchor="/document/12180688/entry/3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статьей 30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Федерального закона "Об обязательном медицинском страховании в Российской Федерации" тарифным соглашением между уполномоченным органом исполнительной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медицинскими профессиональными некоммерческими организациями, созданными в соответствии со </w:t>
      </w:r>
      <w:hyperlink r:id="rId21" w:anchor="/document/12191967/entry/76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статьей 76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Федерального закона "Об основах охраны здоровья граждан в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Российской Федерации", профессиональными союзами медицинских работников или их объединений (ассоциаций), представители которых включаются в состав комиссии по разработке территориальной программы обязательного медицинского страхования, создаваемой в субъекте Российской Федерации в установленном порядке.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</w:t>
      </w: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lastRenderedPageBreak/>
        <w:t>медицинским сестрам патронажным) за оказанную медицинскую помощь в амбулаторных условиях;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врачам-специалистам за оказанную медицинскую помощь в амбулаторных условиях.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При реализации территориальной программы обязательного медицинского страхования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при оплате медицинской помощи, оказанной в амбулаторных условиях: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по </w:t>
      </w:r>
      <w:proofErr w:type="spell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подушевому</w:t>
      </w:r>
      <w:proofErr w:type="spell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по </w:t>
      </w:r>
      <w:proofErr w:type="spell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подушевому</w:t>
      </w:r>
      <w:proofErr w:type="spell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нормативу финансирования на прикрепившихся лиц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при оплате медицинской помощи, оказанной в условиях дневного стационара: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подушевому</w:t>
      </w:r>
      <w:proofErr w:type="spell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нормативу финансирования в сочетании с оплатой за вызов скорой медицинской помощи.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lastRenderedPageBreak/>
        <w:t xml:space="preserve">При оплате медицинской помощи в медицинских организациях, имеющих в своем составе подразделения, оказывающие медицинскую помощь в амбулаторных, стационарных условиях и в условиях дневного стационара, может применяться способ оплаты по </w:t>
      </w:r>
      <w:proofErr w:type="spell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подушевому</w:t>
      </w:r>
      <w:proofErr w:type="spell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организации (включая показатели объема медицинской помощи).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(в соответствии с </w:t>
      </w:r>
      <w:hyperlink r:id="rId22" w:anchor="/document/72123058/entry/16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разделом VI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Программы), нормативы финансовых затрат на единицу объема предоставления медицинской помощи (в том числе по </w:t>
      </w:r>
      <w:hyperlink r:id="rId23" w:anchor="/document/72123058/entry/110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перечню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видов высокотехнологичной медицинской помощи) и нормативы финансового обеспечения базовой программы обязательного медицинского страхования в расчете на 1 застрахованное лицо (в соответствии с </w:t>
      </w:r>
      <w:hyperlink r:id="rId24" w:anchor="/document/72123058/entry/17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разделом</w:t>
        </w:r>
        <w:proofErr w:type="gramEnd"/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 xml:space="preserve"> </w:t>
        </w:r>
        <w:proofErr w:type="gramStart"/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VII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Программы), требования к территориальным программам и условиям оказания медицинской помощи (в соответствии с </w:t>
      </w:r>
      <w:hyperlink r:id="rId25" w:anchor="/document/72123058/entry/18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разделом VIII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Программы), критерии доступности и качества медицинской помощи (в соответствии с </w:t>
      </w:r>
      <w:hyperlink r:id="rId26" w:anchor="/document/72123058/entry/19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разделом IX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Программы).</w:t>
      </w:r>
      <w:proofErr w:type="gramEnd"/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лицо, нормативов финансовых затрат на единицу объема предоставления медицинской помощи в расчете на 1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застрахованное лицо, значение норматива финансового обеспечения в расчете на 1 застрахованное лицо, способы оплаты медицинской помощи, оказываемой 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условия оказания медицинской помощи в таких медицинских организациях.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34"/>
          <w:szCs w:val="34"/>
          <w:lang w:eastAsia="ru-RU"/>
        </w:rPr>
        <w:t>V. Финансовое обеспечение Программы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Источниками финансового обеспечения Программы являются средства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самоуправления), средства обязательного медицинского страхования.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 </w:t>
      </w:r>
      <w:hyperlink r:id="rId27" w:anchor="/document/72123058/entry/111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раздел I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перечня видов высокотехнологичной медицинской помощи, при заболеваниях и состояниях, указанных в </w:t>
      </w:r>
      <w:hyperlink r:id="rId28" w:anchor="/document/72123058/entry/13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разделе III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расстройств поведения;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lastRenderedPageBreak/>
        <w:t>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 </w:t>
      </w:r>
      <w:hyperlink r:id="rId29" w:anchor="/document/72123058/entry/13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разделе III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III Программы, а также мероприятий по медицинской реабилитации, осуществляемой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в медицинских организациях амбулаторно, стационарно и в условиях дневного стационара, </w:t>
      </w:r>
      <w:proofErr w:type="spell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аудиологическому</w:t>
      </w:r>
      <w:proofErr w:type="spell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реализации территориальных программ обязательного медицинского страхования, в соответствии с </w:t>
      </w:r>
      <w:hyperlink r:id="rId30" w:anchor="/document/72123058/entry/111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разделом I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перечня видов высокотехнологичной медицинской помощи.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 </w:t>
      </w:r>
      <w:hyperlink r:id="rId31" w:anchor="/document/72123058/entry/112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разделом II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перечня видов высокотехнологичной медицинской помощи, оказываемой гражданам Российской Федерации: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исполнительной власти;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За счет бюджетных ассигнований федерального бюджета осуществляется финансовое обеспечение: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высокотехнологичной медицинской помощи, не включенной в базовую программу обязательного медицинского страхования, в соответствии с </w:t>
      </w:r>
      <w:hyperlink r:id="rId32" w:anchor="/document/72123058/entry/112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разделом II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порядке, установленном Правительством Российской Федерации, субсидий бюджетам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субъектов Российской Федерации на </w:t>
      </w:r>
      <w:proofErr w:type="spell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софинансирование</w:t>
      </w:r>
      <w:proofErr w:type="spell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расходов субъектов Российской Федерации,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части медицинской помощи, не включенной в базовую программу обязательного медицинского страхования, в том числе при заболеваниях,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поведения, а также в части расходов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медицинской эвакуации, осуществляемой медицинскими организациями, подведомственными федеральным органам исполнительной власти, по перечню, утверждаемому Министерством здравоохранения Российской Федерации;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lastRenderedPageBreak/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включая предоставление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 </w:t>
      </w:r>
      <w:hyperlink r:id="rId33" w:anchor="/document/183489/entry/10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перечень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, работникам организаций, включенных в перечень организаций отдельных отраслей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в части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медицинской помощи, предусмотренной федеральными законами для определенных категорий граждан, оказываемой в медицинских организациях, подведомственных федеральным органам исполнительной власти;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санаторно-курортного лечения отдельных категорий граждан в соответствии с законодательством Российской Федерации;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закупки лекарственных препаратов, предназначенных для лечения лиц, больных гемофилией, </w:t>
      </w:r>
      <w:proofErr w:type="spell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муковисцидозом</w:t>
      </w:r>
      <w:proofErr w:type="spell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 </w:t>
      </w:r>
      <w:proofErr w:type="spell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гемолитико</w:t>
      </w:r>
      <w:proofErr w:type="spell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мукополисахаридозом</w:t>
      </w:r>
      <w:proofErr w:type="spell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I, II и VI типов, лиц после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Федерации;</w:t>
      </w:r>
      <w:proofErr w:type="gramEnd"/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закупки антивирусных лекарственных препаратов для медицинского применения, включенных в </w:t>
      </w:r>
      <w:hyperlink r:id="rId34" w:anchor="/document/72123048/entry/10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перечень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закупки антибактериальных и противотуберкулезных лекарственных препаратов для медицинского применения, включенных в </w:t>
      </w:r>
      <w:hyperlink r:id="rId35" w:anchor="/document/72123048/entry/10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перечень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 </w:t>
      </w:r>
      <w:hyperlink r:id="rId36" w:anchor="/document/180687/entry/200006211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пунктом 1 части 1 статьи 6.2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Федерального закона "О государственной социальной помощи";</w:t>
      </w:r>
      <w:proofErr w:type="gramEnd"/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мероприятий, предусмотренных национальным календарем профилактических прививок в рамках </w:t>
      </w:r>
      <w:hyperlink r:id="rId37" w:anchor="/document/71848440/entry/111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подпрограммы</w:t>
        </w:r>
      </w:hyperlink>
      <w:r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</w:t>
      </w: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"Совершенствование оказания медицинской помощи, включая профилактику заболеваний и формирование здорового образа жизни" государственной программы Российской Федерации "Развитие здравоохранения", утвержденной </w:t>
      </w:r>
      <w:hyperlink r:id="rId38" w:anchor="/document/71848440/entry/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постановлением</w:t>
        </w:r>
      </w:hyperlink>
      <w:r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</w:t>
      </w: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Правительства Российской Федерации от 26 декабря 2017 г. N 1640 "Об утверждении государственной программы Российской Федерации "Развитие здравоохранения";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lastRenderedPageBreak/>
        <w:t>дополнительных мероприятий, установленных в соответствии с законодательством Российской Федерации;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медицинской деятельности, связанной с донорством органов и тканей человека в целях трансплантации (пересадки).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За счет бюджетных ассигнований бюджетов субъектов Российской Федерации осуществляется финансовое обеспечение: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первичной медико-санитарной и специализированной медицинской помощи в части медицинской помощи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</w:t>
      </w: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связанные</w:t>
      </w:r>
      <w:proofErr w:type="gram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в том числе с употреблением </w:t>
      </w:r>
      <w:proofErr w:type="spell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психоактивных</w:t>
      </w:r>
      <w:proofErr w:type="spellEnd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</w:t>
      </w:r>
      <w:proofErr w:type="gramStart"/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и в части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  <w:proofErr w:type="gramEnd"/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паллиативной медицинской помощи, оказываемой амбулаторно, в том числе выездными патронажными службами, и стационарно, включая хосписы и койки сестринского ухода;</w:t>
      </w:r>
    </w:p>
    <w:p w:rsidR="00201695" w:rsidRPr="00201695" w:rsidRDefault="00201695" w:rsidP="00201695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</w:pPr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высокотехнологичной медицинской помощи, оказываемой в медицинских организациях, подведомственных исполнительным органам государственной власти субъектов Российской Федерации, в соответствии с </w:t>
      </w:r>
      <w:hyperlink r:id="rId39" w:anchor="/document/72123058/entry/11200" w:history="1">
        <w:r w:rsidRPr="00201695">
          <w:rPr>
            <w:rFonts w:ascii="PT Serif" w:eastAsia="Times New Roman" w:hAnsi="PT Serif" w:cs="Times New Roman"/>
            <w:color w:val="551A8B"/>
            <w:sz w:val="24"/>
            <w:szCs w:val="24"/>
            <w:lang w:eastAsia="ru-RU"/>
          </w:rPr>
          <w:t>разделом II</w:t>
        </w:r>
      </w:hyperlink>
      <w:r w:rsidRPr="00201695">
        <w:rPr>
          <w:rFonts w:ascii="PT Serif" w:eastAsia="Times New Roman" w:hAnsi="PT Serif" w:cs="Times New Roman"/>
          <w:color w:val="22272F"/>
          <w:sz w:val="24"/>
          <w:szCs w:val="24"/>
          <w:lang w:eastAsia="ru-RU"/>
        </w:rPr>
        <w:t> перечня видов высокотехнологичной медицинской помощи.</w:t>
      </w:r>
    </w:p>
    <w:p w:rsidR="00DE3413" w:rsidRDefault="00DE3413"/>
    <w:sectPr w:rsidR="00DE3413" w:rsidSect="00201695">
      <w:pgSz w:w="11906" w:h="16838"/>
      <w:pgMar w:top="567" w:right="799" w:bottom="567" w:left="79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95"/>
    <w:rsid w:val="00201695"/>
    <w:rsid w:val="00D4382B"/>
    <w:rsid w:val="00DE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0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1695"/>
    <w:rPr>
      <w:color w:val="0000FF"/>
      <w:u w:val="single"/>
    </w:rPr>
  </w:style>
  <w:style w:type="paragraph" w:customStyle="1" w:styleId="s16">
    <w:name w:val="s_16"/>
    <w:basedOn w:val="a"/>
    <w:rsid w:val="0020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0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0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1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0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0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1695"/>
    <w:rPr>
      <w:color w:val="0000FF"/>
      <w:u w:val="single"/>
    </w:rPr>
  </w:style>
  <w:style w:type="paragraph" w:customStyle="1" w:styleId="s16">
    <w:name w:val="s_16"/>
    <w:basedOn w:val="a"/>
    <w:rsid w:val="0020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0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0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5404</Words>
  <Characters>30804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Tohsiba</dc:creator>
  <cp:lastModifiedBy>Tohsiba</cp:lastModifiedBy>
  <cp:revision>1</cp:revision>
  <dcterms:created xsi:type="dcterms:W3CDTF">2018-12-28T12:00:00Z</dcterms:created>
  <dcterms:modified xsi:type="dcterms:W3CDTF">2018-12-28T12:20:00Z</dcterms:modified>
</cp:coreProperties>
</file>